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5B6B7B"/>
          <w:sz w:val="18"/>
          <w:szCs w:val="18"/>
        </w:rPr>
        <w:t xml:space="preserve">LOCKERSOFT  ·  TECHNICAL EVALUATION</w:t>
      </w:r>
    </w:p>
    <w:p>
      <w:pPr>
        <w:spacing w:after="60"/>
      </w:pPr>
      <w:r>
        <w:rPr>
          <w:b/>
          <w:bCs/>
          <w:color w:val="15406E"/>
          <w:sz w:val="56"/>
          <w:szCs w:val="56"/>
        </w:rPr>
        <w:t xml:space="preserve">AI Provider &amp; Platform Comparison</w:t>
      </w:r>
    </w:p>
    <w:p>
      <w:pPr>
        <w:spacing w:after="200"/>
      </w:pPr>
      <w:r>
        <w:rPr>
          <w:color w:val="1A4F8B"/>
          <w:sz w:val="26"/>
          <w:szCs w:val="26"/>
        </w:rPr>
        <w:t xml:space="preserve">Training, tuning, and serving an open-weight model for the WWG AI Dashboard</w:t>
      </w:r>
    </w:p>
    <w:p>
      <w:pPr>
        <w:spacing w:after="120"/>
      </w:pPr>
      <w:r>
        <w:rPr>
          <w:color w:val="5B6B7B"/>
          <w:sz w:val="20"/>
          <w:szCs w:val="20"/>
        </w:rPr>
        <w:t xml:space="preserve">Secure-portable-container approach  ·  June 2026</w:t>
      </w:r>
    </w:p>
    <w:p>
      <w:pPr>
        <w:spacing w:after="120"/>
      </w:pPr>
      <w:r>
        <w:rPr>
          <w:b/>
          <w:bCs/>
        </w:rPr>
        <w:t xml:space="preserve">Scope: </w:t>
      </w:r>
      <w:r>
        <w:t xml:space="preserve">22 providers across four categories, evaluated for portability, model integrity, and data security under the assumption that company data may run outside WWG provided it stays sealed in a secure, portable, vendor-movable container.</w:t>
      </w:r>
    </w:p>
    <w:p>
      <w:r>
        <w:br w:type="page"/>
      </w:r>
    </w:p>
    <w:p>
      <w:pPr>
        <w:spacing w:after="60"/>
      </w:pPr>
      <w:r>
        <w:rPr>
          <w:b/>
          <w:bCs/>
          <w:color w:val="15406E"/>
          <w:sz w:val="30"/>
          <w:szCs w:val="30"/>
        </w:rPr>
        <w:t xml:space="preserve">Contents</w:t>
      </w:r>
    </w:p>
    <w:p>
      <w:pPr>
        <w:spacing w:after="160"/>
      </w:pPr>
      <w:r>
        <w:rPr>
          <w:i/>
          <w:iCs/>
          <w:color w:val="5B6B7B"/>
          <w:sz w:val="17"/>
          <w:szCs w:val="17"/>
        </w:rPr>
        <w:t xml:space="preserve">Click any section to jump to it.</w:t>
      </w:r>
    </w:p>
    <w:p>
      <w:pPr>
        <w:spacing w:after="100"/>
        <w:ind w:left="220"/>
      </w:pPr>
      <w:hyperlink w:history="1" w:anchor="sec0">
        <w:r>
          <w:rPr>
            <w:color w:val="1A4F8B"/>
            <w:sz w:val="22"/>
            <w:szCs w:val="22"/>
          </w:rPr>
          <w:t xml:space="preserve">Executive summary</w:t>
        </w:r>
      </w:hyperlink>
    </w:p>
    <w:p>
      <w:pPr>
        <w:spacing w:after="100"/>
        <w:ind w:left="220"/>
      </w:pPr>
      <w:hyperlink w:history="1" w:anchor="sec1">
        <w:r>
          <w:rPr>
            <w:color w:val="1A4F8B"/>
            <w:sz w:val="22"/>
            <w:szCs w:val="22"/>
          </w:rPr>
          <w:t xml:space="preserve">1.  Requirements and the relaxed constraint</w:t>
        </w:r>
      </w:hyperlink>
    </w:p>
    <w:p>
      <w:pPr>
        <w:spacing w:after="100"/>
        <w:ind w:left="220"/>
      </w:pPr>
      <w:hyperlink w:history="1" w:anchor="sec2">
        <w:r>
          <w:rPr>
            <w:color w:val="1A4F8B"/>
            <w:sz w:val="22"/>
            <w:szCs w:val="22"/>
          </w:rPr>
          <w:t xml:space="preserve">2.  Recommended architecture</w:t>
        </w:r>
      </w:hyperlink>
    </w:p>
    <w:p>
      <w:pPr>
        <w:spacing w:after="100"/>
        <w:ind w:left="220"/>
      </w:pPr>
      <w:hyperlink w:history="1" w:anchor="sec3">
        <w:r>
          <w:rPr>
            <w:color w:val="1A4F8B"/>
            <w:sz w:val="22"/>
            <w:szCs w:val="22"/>
          </w:rPr>
          <w:t xml:space="preserve">3.  Provider landscape</w:t>
        </w:r>
      </w:hyperlink>
    </w:p>
    <w:p>
      <w:pPr>
        <w:spacing w:after="100"/>
        <w:ind w:left="220"/>
      </w:pPr>
      <w:hyperlink w:history="1" w:anchor="sec4">
        <w:r>
          <w:rPr>
            <w:color w:val="1A4F8B"/>
            <w:sz w:val="22"/>
            <w:szCs w:val="22"/>
          </w:rPr>
          <w:t xml:space="preserve">4.  Mobility and exit</w:t>
        </w:r>
      </w:hyperlink>
    </w:p>
    <w:p>
      <w:pPr>
        <w:spacing w:after="100"/>
        <w:ind w:left="220"/>
      </w:pPr>
      <w:hyperlink w:history="1" w:anchor="sec5">
        <w:r>
          <w:rPr>
            <w:color w:val="1A4F8B"/>
            <w:sz w:val="22"/>
            <w:szCs w:val="22"/>
          </w:rPr>
          <w:t xml:space="preserve">5.  Model integrity and continued availability</w:t>
        </w:r>
      </w:hyperlink>
    </w:p>
    <w:p>
      <w:pPr>
        <w:spacing w:after="100"/>
        <w:ind w:left="220"/>
      </w:pPr>
      <w:hyperlink w:history="1" w:anchor="sec6">
        <w:r>
          <w:rPr>
            <w:color w:val="1A4F8B"/>
            <w:sz w:val="22"/>
            <w:szCs w:val="22"/>
          </w:rPr>
          <w:t xml:space="preserve">6.  Data security under the relaxed constraint</w:t>
        </w:r>
      </w:hyperlink>
    </w:p>
    <w:p>
      <w:pPr>
        <w:spacing w:after="100"/>
        <w:ind w:left="220"/>
      </w:pPr>
      <w:hyperlink w:history="1" w:anchor="sec7">
        <w:r>
          <w:rPr>
            <w:color w:val="1A4F8B"/>
            <w:sz w:val="22"/>
            <w:szCs w:val="22"/>
          </w:rPr>
          <w:t xml:space="preserve">7.  Cost summary</w:t>
        </w:r>
      </w:hyperlink>
    </w:p>
    <w:p>
      <w:pPr>
        <w:spacing w:after="100"/>
        <w:ind w:left="220"/>
      </w:pPr>
      <w:hyperlink w:history="1" w:anchor="sec8">
        <w:r>
          <w:rPr>
            <w:color w:val="1A4F8B"/>
            <w:sz w:val="22"/>
            <w:szCs w:val="22"/>
          </w:rPr>
          <w:t xml:space="preserve">8.  Recommendation and suggested path</w:t>
        </w:r>
      </w:hyperlink>
    </w:p>
    <w:p>
      <w:r>
        <w:br w:type="page"/>
      </w:r>
    </w:p>
    <w:p>
      <w:pPr>
        <w:pStyle w:val="Heading1"/>
        <w:spacing w:after="140" w:before="240"/>
      </w:pPr>
      <w:bookmarkStart w:name="sec0" w:id="1"/>
      <w:r>
        <w:t xml:space="preserve">Executive summary</w:t>
      </w:r>
      <w:bookmarkEnd w:id="1"/>
    </w:p>
    <w:p>
      <w:pPr>
        <w:spacing w:after="120"/>
      </w:pPr>
      <w:r>
        <w:t xml:space="preserve">This report compares the major online providers for training, fine-tuning, and serving large language models, evaluated specifically for the WWG AI Dashboard: a manager-facing tool that answers plain-English questions over Lockersoft's structured SQL data and large volumes of free-form notes.</w:t>
      </w:r>
    </w:p>
    <w:p>
      <w:pPr>
        <w:spacing w:after="120"/>
      </w:pPr>
      <w:r>
        <w:t xml:space="preserve">The guiding constraint has been relaxed since the first round of research. Company data no longer has to remain physically inside WWG; it may run on third-party infrastructure </w:t>
      </w:r>
      <w:r>
        <w:rPr>
          <w:b/>
          <w:bCs/>
        </w:rPr>
        <w:t xml:space="preserve">provided it stays sealed in a secure, portable container that we encrypt with our own keys and can move freely between providers</w:t>
      </w:r>
      <w:r>
        <w:t xml:space="preserve">. That single change widens the option set considerably and lowers the cost floor, while preserving the two non-negotiables: data stays under our control, and we are never locked to one vendor.</w:t>
      </w:r>
    </w:p>
    <w:p>
      <w:pPr>
        <w:pStyle w:val="Heading2"/>
        <w:spacing w:after="100" w:before="200"/>
      </w:pPr>
      <w:r>
        <w:t xml:space="preserve">Three findings that shape the recommendation</w:t>
      </w:r>
    </w:p>
    <w:p>
      <w:pPr>
        <w:pStyle w:val="ListParagraph"/>
        <w:numPr>
          <w:ilvl w:val="0"/>
          <w:numId w:val="2"/>
        </w:numPr>
        <w:spacing w:after="60"/>
      </w:pPr>
      <w:r>
        <w:rPr>
          <w:b/>
          <w:bCs/>
        </w:rPr>
        <w:t xml:space="preserve">Fine-tune open-weight models and lock-in largely disappears.</w:t>
      </w:r>
      <w:r>
        <w:t xml:space="preserve"> Almost every platform lets you download your LoRA adapters or merged weights and run them anywhere. The trap is the managed proprietary fine-tuning services (AWS Bedrock, Google Gemini tuning, Azure OpenAI fine-tuning), which keep fine-tuned weights captive. Those specific services are disqualified; the same clouds' raw infrastructure layers are fine.</w:t>
      </w:r>
    </w:p>
    <w:p>
      <w:pPr>
        <w:pStyle w:val="ListParagraph"/>
        <w:numPr>
          <w:ilvl w:val="0"/>
          <w:numId w:val="2"/>
        </w:numPr>
        <w:spacing w:after="60"/>
      </w:pPr>
      <w:r>
        <w:rPr>
          <w:b/>
          <w:bCs/>
        </w:rPr>
        <w:t xml:space="preserve">Confidential computing now makes “secure on rented hardware” real.</w:t>
      </w:r>
      <w:r>
        <w:t xml:space="preserve"> NVIDIA Confidential Computing on H100/H200 GPUs encrypts data even while it is being processed and proves the environment is genuine before releasing keys. It is generally available as confidential H100 VMs on Azure and Google Cloud in 2026, with under ~7% overhead. This is what lets the same secured container run on rented infrastructure where even the cloud operator cannot see the data.</w:t>
      </w:r>
    </w:p>
    <w:p>
      <w:pPr>
        <w:pStyle w:val="ListParagraph"/>
        <w:numPr>
          <w:ilvl w:val="0"/>
          <w:numId w:val="2"/>
        </w:numPr>
        <w:spacing w:after="60"/>
      </w:pPr>
      <w:r>
        <w:rPr>
          <w:b/>
          <w:bCs/>
        </w:rPr>
        <w:t xml:space="preserve">RAG usually removes the need to fine-tune at all.</w:t>
      </w:r>
      <w:r>
        <w:t xml:space="preserve"> For question-answering over private data, retrieval-augmented generation plus a good instruct model is the default. Fine-tuning is a later optimization, not a starting point.</w:t>
      </w:r>
    </w:p>
    <w:p>
      <w:pPr>
        <w:spacing w:after="120"/>
      </w:pPr>
      <w:r>
        <w:rPr>
          <w:b/>
          <w:bCs/>
        </w:rPr>
        <w:t xml:space="preserve">Recommended model tier: </w:t>
      </w:r>
      <w:r>
        <w:t xml:space="preserve">a 12–14B open-weight instruct model (Qwen3 14B or Phi-4 14B) at 4-bit, served by vLLM, on a single 24 GB-class GPU. Likely running cost: roughly </w:t>
      </w:r>
      <w:r>
        <w:rPr>
          <w:b/>
          <w:bCs/>
        </w:rPr>
        <w:t xml:space="preserve">$30–320/month</w:t>
      </w:r>
      <w:r>
        <w:t xml:space="preserve"> depending on how it is hosted, plus an optional one-off fine-tune under ~$100 if ever needed.</w:t>
      </w:r>
    </w:p>
    <w:p>
      <w:pPr>
        <w:pStyle w:val="Heading1"/>
        <w:spacing w:after="140" w:before="240"/>
      </w:pPr>
      <w:bookmarkStart w:name="sec1" w:id="1"/>
      <w:r>
        <w:t xml:space="preserve">1.  Requirements and the relaxed constraint</w:t>
      </w:r>
      <w:bookmarkEnd w:id="1"/>
    </w:p>
    <w:p>
      <w:pPr>
        <w:spacing w:after="120"/>
      </w:pPr>
      <w:r>
        <w:t xml:space="preserve">The evaluation weighs every provider against four requirements drawn directly from the project's goals:</w:t>
      </w:r>
    </w:p>
    <w:p>
      <w:pPr>
        <w:pStyle w:val="ListParagraph"/>
        <w:numPr>
          <w:ilvl w:val="0"/>
          <w:numId w:val="2"/>
        </w:numPr>
        <w:spacing w:after="60"/>
      </w:pPr>
      <w:r>
        <w:rPr>
          <w:b/>
          <w:bCs/>
        </w:rPr>
        <w:t xml:space="preserve">Portability / mobility.</w:t>
      </w:r>
      <w:r>
        <w:t xml:space="preserve"> Prefer standard containers; avoid lock-in; survive a vendor shutting down or being acquired.</w:t>
      </w:r>
    </w:p>
    <w:p>
      <w:pPr>
        <w:pStyle w:val="ListParagraph"/>
        <w:numPr>
          <w:ilvl w:val="0"/>
          <w:numId w:val="2"/>
        </w:numPr>
        <w:spacing w:after="60"/>
      </w:pPr>
      <w:r>
        <w:rPr>
          <w:b/>
          <w:bCs/>
        </w:rPr>
        <w:t xml:space="preserve">Model integrity and continued availability.</w:t>
      </w:r>
      <w:r>
        <w:t xml:space="preserve"> Do not depend on a model that could be removed, gated, or relicensed out from under us.</w:t>
      </w:r>
    </w:p>
    <w:p>
      <w:pPr>
        <w:pStyle w:val="ListParagraph"/>
        <w:numPr>
          <w:ilvl w:val="0"/>
          <w:numId w:val="2"/>
        </w:numPr>
        <w:spacing w:after="60"/>
      </w:pPr>
      <w:r>
        <w:rPr>
          <w:b/>
          <w:bCs/>
        </w:rPr>
        <w:t xml:space="preserve">Data security and residency.</w:t>
      </w:r>
      <w:r>
        <w:t xml:space="preserve"> Data may leave our walls only if it stays encrypted, under our own keys, in a container we control and can relocate.</w:t>
      </w:r>
    </w:p>
    <w:p>
      <w:pPr>
        <w:pStyle w:val="ListParagraph"/>
        <w:numPr>
          <w:ilvl w:val="0"/>
          <w:numId w:val="2"/>
        </w:numPr>
        <w:spacing w:after="60"/>
      </w:pPr>
      <w:r>
        <w:rPr>
          <w:b/>
          <w:bCs/>
        </w:rPr>
        <w:t xml:space="preserve">Stack-agnostic.</w:t>
      </w:r>
      <w:r>
        <w:t xml:space="preserve"> No commitment to any one programming stack or vendor ecosystem.</w:t>
      </w:r>
    </w:p>
    <w:p>
      <w:pPr>
        <w:spacing w:after="120"/>
      </w:pPr>
      <w:r>
        <w:t xml:space="preserve">The relaxed residency rule reframes the question from “where must the data physically sit?” to “how do we keep the data sealed and movable wherever it runs?” The answer is a layered security model — encryption at rest, in transit, and (optionally) in use via confidential computing — combined with customer-held keys and standard container packaging.</w:t>
      </w:r>
    </w:p>
    <w:p>
      <w:pPr>
        <w:pStyle w:val="Heading1"/>
        <w:spacing w:after="140" w:before="240"/>
      </w:pPr>
      <w:bookmarkStart w:name="sec2" w:id="1"/>
      <w:r>
        <w:t xml:space="preserve">2.  Recommended architecture</w:t>
      </w:r>
      <w:bookmarkEnd w:id="1"/>
    </w:p>
    <w:p>
      <w:pPr>
        <w:spacing w:after="120"/>
      </w:pPr>
      <w:r>
        <w:t xml:space="preserve">Build the whole system as one </w:t>
      </w:r>
      <w:r>
        <w:rPr>
          <w:b/>
          <w:bCs/>
        </w:rPr>
        <w:t xml:space="preserve">secure, portable container</w:t>
      </w:r>
      <w:r>
        <w:t xml:space="preserve">: an open-weight 12–14B instruct model (4-bit) we own, answering questions via RAG over our notes and Text-to-SQL over our tables, with the note embeddings stored inside SQL Server. Encrypt everything; hold our own keys. Because it is a standard container, it runs unchanged on our own server, on a rented secure GPU, or in a confidential-computing cloud — and moves between them without a rebuild.</w:t>
      </w:r>
    </w:p>
    <w:p>
      <w:pPr>
        <w:pStyle w:val="Heading2"/>
        <w:spacing w:after="100" w:before="200"/>
      </w:pPr>
      <w:r>
        <w:t xml:space="preserve">The pipeline</w:t>
      </w:r>
    </w:p>
    <w:p>
      <w:pPr>
        <w:pStyle w:val="ListParagraph"/>
        <w:numPr>
          <w:ilvl w:val="0"/>
          <w:numId w:val="2"/>
        </w:numPr>
        <w:spacing w:after="60"/>
      </w:pPr>
      <w:r>
        <w:rPr>
          <w:b/>
          <w:bCs/>
        </w:rPr>
        <w:t xml:space="preserve">Structured data</w:t>
      </w:r>
      <w:r>
        <w:t xml:space="preserve"> → Text-to-SQL against curated, read-only views, with row-level security so each manager sees only their own org subtree.</w:t>
      </w:r>
    </w:p>
    <w:p>
      <w:pPr>
        <w:pStyle w:val="ListParagraph"/>
        <w:numPr>
          <w:ilvl w:val="0"/>
          <w:numId w:val="2"/>
        </w:numPr>
        <w:spacing w:after="60"/>
      </w:pPr>
      <w:r>
        <w:rPr>
          <w:b/>
          <w:bCs/>
        </w:rPr>
        <w:t xml:space="preserve">Free-form notes</w:t>
      </w:r>
      <w:r>
        <w:t xml:space="preserve"> → chunked, embedded (Qwen3-Embedding or BGE, ≤1,024 dims), stored as vectors in SQL Server 2025's native VECTOR type, retrieved by similarity search at query time.</w:t>
      </w:r>
    </w:p>
    <w:p>
      <w:pPr>
        <w:pStyle w:val="ListParagraph"/>
        <w:numPr>
          <w:ilvl w:val="0"/>
          <w:numId w:val="2"/>
        </w:numPr>
        <w:spacing w:after="60"/>
      </w:pPr>
      <w:r>
        <w:rPr>
          <w:b/>
          <w:bCs/>
        </w:rPr>
        <w:t xml:space="preserve">Generation</w:t>
      </w:r>
      <w:r>
        <w:t xml:space="preserve"> → a 12–14B instruct model served by vLLM produces the answer from the retrieved SQL results and note passages.</w:t>
      </w:r>
    </w:p>
    <w:p>
      <w:pPr>
        <w:pStyle w:val="ListParagraph"/>
        <w:numPr>
          <w:ilvl w:val="0"/>
          <w:numId w:val="2"/>
        </w:numPr>
        <w:spacing w:after="60"/>
      </w:pPr>
      <w:r>
        <w:rPr>
          <w:b/>
          <w:bCs/>
        </w:rPr>
        <w:t xml:space="preserve">Security</w:t>
      </w:r>
      <w:r>
        <w:t xml:space="preserve"> → the container is encrypted with customer-managed keys; optionally run on a confidential-computing GPU so even the host cannot read the data.</w:t>
      </w:r>
    </w:p>
    <w:p>
      <w:pPr>
        <w:spacing w:after="120"/>
      </w:pPr>
      <w:r>
        <w:t xml:space="preserve">Start with </w:t>
      </w:r>
      <w:r>
        <w:rPr>
          <w:b/>
          <w:bCs/>
        </w:rPr>
        <w:t xml:space="preserve">RAG only</w:t>
      </w:r>
      <w:r>
        <w:t xml:space="preserve">; fine-tune later only if a concrete need appears. Keep embeddings and vectors inside SQL Server so that storage is effectively free and the data stays co-located with the structured tables.</w:t>
      </w:r>
    </w:p>
    <w:p>
      <w:r>
        <w:br w:type="page"/>
      </w:r>
    </w:p>
    <w:p>
      <w:pPr>
        <w:pStyle w:val="Heading1"/>
        <w:spacing w:after="140" w:before="240"/>
      </w:pPr>
      <w:bookmarkStart w:name="sec3" w:id="1"/>
      <w:r>
        <w:t xml:space="preserve">3.  Provider landscape</w:t>
      </w:r>
      <w:bookmarkEnd w:id="1"/>
    </w:p>
    <w:p>
      <w:pPr>
        <w:spacing w:after="120"/>
      </w:pPr>
      <w:r>
        <w:t xml:space="preserve">Twenty-two providers across four categories. The make-or-break columns for us are weight portability and how the data is protected.</w:t>
      </w:r>
    </w:p>
    <w:p>
      <w:pPr>
        <w:pStyle w:val="Heading2"/>
        <w:spacing w:after="100" w:before="200"/>
      </w:pPr>
      <w:r>
        <w:t xml:space="preserve">3.1  Rent-a-GPU (bring your own container)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700"/>
        <w:gridCol w:w="2360"/>
        <w:gridCol w:w="2300"/>
      </w:tblGrid>
      <w:tr>
        <w:trPr>
          <w:tblHeader/>
        </w:trPr>
        <w:tc>
          <w:tcPr>
            <w:tcW w:type="dxa" w:w="15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Provider</w:t>
            </w:r>
          </w:p>
        </w:tc>
        <w:tc>
          <w:tcPr>
            <w:tcW w:type="dxa" w:w="15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H100 $/hr</w:t>
            </w:r>
          </w:p>
        </w:tc>
        <w:tc>
          <w:tcPr>
            <w:tcW w:type="dxa" w:w="17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Cheapest GPU</w:t>
            </w:r>
          </w:p>
        </w:tc>
        <w:tc>
          <w:tcPr>
            <w:tcW w:type="dxa" w:w="236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Data protection</w:t>
            </w:r>
          </w:p>
        </w:tc>
        <w:tc>
          <w:tcPr>
            <w:tcW w:type="dxa" w:w="23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Best for</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RunPod</w:t>
            </w:r>
          </w:p>
        </w:tc>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$2.89–3.29</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RTX 4090 $0.69</w:t>
            </w:r>
          </w:p>
        </w:tc>
        <w:tc>
          <w:tcPr>
            <w:tcW w:type="dxa" w:w="23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Secure Cloud, SOC 2, region-select</w:t>
            </w:r>
          </w:p>
        </w:tc>
        <w:tc>
          <w:tcPr>
            <w:tcW w:type="dxa" w:w="23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Best cost/flexibility for a small shop</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Vast.ai</w:t>
            </w:r>
          </w:p>
        </w:tc>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from ~$2.00</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RTX 4090 $0.35</w:t>
            </w:r>
          </w:p>
        </w:tc>
        <w:tc>
          <w:tcPr>
            <w:tcW w:type="dxa" w:w="23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Use vetted “Secure Cloud” hosts only</w:t>
            </w:r>
          </w:p>
        </w:tc>
        <w:tc>
          <w:tcPr>
            <w:tcW w:type="dxa" w:w="23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Cheapest; dev/experiments</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Lambda</w:t>
            </w:r>
          </w:p>
        </w:tc>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$3.99 (8×)</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V100 $0.79</w:t>
            </w:r>
          </w:p>
        </w:tc>
        <w:tc>
          <w:tcPr>
            <w:tcW w:type="dxa" w:w="23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Private Cloud = single-tenant</w:t>
            </w:r>
          </w:p>
        </w:tc>
        <w:tc>
          <w:tcPr>
            <w:tcW w:type="dxa" w:w="23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Predictable, established</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CoreWeave</w:t>
            </w:r>
          </w:p>
        </w:tc>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~$6.16/GPU</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node-priced</w:t>
            </w:r>
          </w:p>
        </w:tc>
        <w:tc>
          <w:tcPr>
            <w:tcW w:type="dxa" w:w="23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VPC; $0 egress (best exit)</w:t>
            </w:r>
          </w:p>
        </w:tc>
        <w:tc>
          <w:tcPr>
            <w:tcW w:type="dxa" w:w="23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Committed scale</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DO Gradient</w:t>
            </w:r>
          </w:p>
        </w:tc>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$3.39</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RTX 4000 $0.76</w:t>
            </w:r>
          </w:p>
        </w:tc>
        <w:tc>
          <w:tcPr>
            <w:tcW w:type="dxa" w:w="23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DO regions, mature compliance</w:t>
            </w:r>
          </w:p>
        </w:tc>
        <w:tc>
          <w:tcPr>
            <w:tcW w:type="dxa" w:w="23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Teams already on DigitalOcean</w:t>
            </w:r>
          </w:p>
        </w:tc>
      </w:tr>
    </w:tbl>
    <w:p>
      <w:pPr>
        <w:spacing w:after="80"/>
      </w:pPr>
      <w:r>
        <w:t xml:space="preserve"/>
      </w:r>
    </w:p>
    <w:p>
      <w:pPr>
        <w:pStyle w:val="Heading2"/>
        <w:spacing w:after="100" w:before="200"/>
      </w:pPr>
      <w:r>
        <w:t xml:space="preserve">3.2  Managed fine-tuning / serving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400"/>
        <w:gridCol w:w="1700"/>
        <w:gridCol w:w="1900"/>
        <w:gridCol w:w="2860"/>
      </w:tblGrid>
      <w:tr>
        <w:trPr>
          <w:tblHeader/>
        </w:trPr>
        <w:tc>
          <w:tcPr>
            <w:tcW w:type="dxa" w:w="15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Provider</w:t>
            </w:r>
          </w:p>
        </w:tc>
        <w:tc>
          <w:tcPr>
            <w:tcW w:type="dxa" w:w="14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FT entry</w:t>
            </w:r>
          </w:p>
        </w:tc>
        <w:tc>
          <w:tcPr>
            <w:tcW w:type="dxa" w:w="17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Download weights?</w:t>
            </w:r>
          </w:p>
        </w:tc>
        <w:tc>
          <w:tcPr>
            <w:tcW w:type="dxa" w:w="19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VPC / self-host</w:t>
            </w:r>
          </w:p>
        </w:tc>
        <w:tc>
          <w:tcPr>
            <w:tcW w:type="dxa" w:w="286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Status</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Together AI</w:t>
            </w:r>
          </w:p>
        </w:tc>
        <w:tc>
          <w:tcPr>
            <w:tcW w:type="dxa" w:w="14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$0.48/1M</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(CLI export)</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(Enterprise VPC)</w:t>
            </w:r>
          </w:p>
        </w:tc>
        <w:tc>
          <w:tcPr>
            <w:tcW w:type="dxa" w:w="28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Independent</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Fireworks AI</w:t>
            </w:r>
          </w:p>
        </w:tc>
        <w:tc>
          <w:tcPr>
            <w:tcW w:type="dxa" w:w="14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$0.50/1M</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(best-documented)</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Isolation + BYO bucket</w:t>
            </w:r>
          </w:p>
        </w:tc>
        <w:tc>
          <w:tcPr>
            <w:tcW w:type="dxa" w:w="28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Independent; strong compliance</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Modal</w:t>
            </w:r>
          </w:p>
        </w:tc>
        <w:tc>
          <w:tcPr>
            <w:tcW w:type="dxa" w:w="14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GPU-hr only</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(full ownership)</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No VPC/on-prem</w:t>
            </w:r>
          </w:p>
        </w:tc>
        <w:tc>
          <w:tcPr>
            <w:tcW w:type="dxa" w:w="28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Independent; container-first</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Baseten</w:t>
            </w:r>
          </w:p>
        </w:tc>
        <w:tc>
          <w:tcPr>
            <w:tcW w:type="dxa" w:w="14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GPU-min only</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(Download Truss)</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(your VPC)</w:t>
            </w:r>
          </w:p>
        </w:tc>
        <w:tc>
          <w:tcPr>
            <w:tcW w:type="dxa" w:w="28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Independent</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OpenPipe</w:t>
            </w:r>
          </w:p>
        </w:tc>
        <w:tc>
          <w:tcPr>
            <w:tcW w:type="dxa" w:w="14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$0.48/1M</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 open ART)</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(on-prem/VPC)</w:t>
            </w:r>
          </w:p>
        </w:tc>
        <w:tc>
          <w:tcPr>
            <w:tcW w:type="dxa" w:w="28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Acquired by CoreWeave 2025</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Predibase</w:t>
            </w:r>
          </w:p>
        </w:tc>
        <w:tc>
          <w:tcPr>
            <w:tcW w:type="dxa" w:w="14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per-1M</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(LoRAX adapters)</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(your cloud)</w:t>
            </w:r>
          </w:p>
        </w:tc>
        <w:tc>
          <w:tcPr>
            <w:tcW w:type="dxa" w:w="28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Acquired by Rubrik 2025</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Replicate</w:t>
            </w:r>
          </w:p>
        </w:tc>
        <w:tc>
          <w:tcPr>
            <w:tcW w:type="dxa" w:w="14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GPU-sec</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Partial (images)</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No</w:t>
            </w:r>
          </w:p>
        </w:tc>
        <w:tc>
          <w:tcPr>
            <w:tcW w:type="dxa" w:w="28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Acquired by Cloudflare 2025</w:t>
            </w:r>
          </w:p>
        </w:tc>
      </w:tr>
    </w:tbl>
    <w:p>
      <w:pPr>
        <w:spacing w:after="80"/>
      </w:pPr>
      <w:r>
        <w:t xml:space="preserve"/>
      </w:r>
    </w:p>
    <w:p>
      <w:pPr>
        <w:pStyle w:val="Heading2"/>
        <w:spacing w:after="100" w:before="200"/>
      </w:pPr>
      <w:r>
        <w:t xml:space="preserve">3.3  Hyperscalers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50"/>
        <w:gridCol w:w="1700"/>
        <w:gridCol w:w="1900"/>
        <w:gridCol w:w="1900"/>
        <w:gridCol w:w="2410"/>
      </w:tblGrid>
      <w:tr>
        <w:trPr>
          <w:tblHeader/>
        </w:trPr>
        <w:tc>
          <w:tcPr>
            <w:tcW w:type="dxa" w:w="145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Cloud</w:t>
            </w:r>
          </w:p>
        </w:tc>
        <w:tc>
          <w:tcPr>
            <w:tcW w:type="dxa" w:w="17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BYO Docker train</w:t>
            </w:r>
          </w:p>
        </w:tc>
        <w:tc>
          <w:tcPr>
            <w:tcW w:type="dxa" w:w="19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Confidential GPU</w:t>
            </w:r>
          </w:p>
        </w:tc>
        <w:tc>
          <w:tcPr>
            <w:tcW w:type="dxa" w:w="19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Export open weights</w:t>
            </w:r>
          </w:p>
        </w:tc>
        <w:tc>
          <w:tcPr>
            <w:tcW w:type="dxa" w:w="241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Watch-out</w:t>
            </w:r>
          </w:p>
        </w:tc>
      </w:tr>
      <w:tr>
        <w:tc>
          <w:tcPr>
            <w:tcW w:type="dxa" w:w="145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AWS</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(SageMaker)</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CPU enclaves GA; GPU roadmap</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 your S3)</w:t>
            </w:r>
          </w:p>
        </w:tc>
        <w:tc>
          <w:tcPr>
            <w:tcW w:type="dxa" w:w="241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Bedrock FT weights captive</w:t>
            </w:r>
          </w:p>
        </w:tc>
      </w:tr>
      <w:tr>
        <w:tc>
          <w:tcPr>
            <w:tcW w:type="dxa" w:w="145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Google Cloud</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(Vertex)</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Confidential H100 GA</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 GCS)</w:t>
            </w:r>
          </w:p>
        </w:tc>
        <w:tc>
          <w:tcPr>
            <w:tcW w:type="dxa" w:w="241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Global endpoint ignores residency</w:t>
            </w:r>
          </w:p>
        </w:tc>
      </w:tr>
      <w:tr>
        <w:tc>
          <w:tcPr>
            <w:tcW w:type="dxa" w:w="145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Azure</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(Azure ML)</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Confidential H100 GA (NCC v5)</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Yes (inferred)</w:t>
            </w:r>
          </w:p>
        </w:tc>
        <w:tc>
          <w:tcPr>
            <w:tcW w:type="dxa" w:w="241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OpenAI FT weights captive</w:t>
            </w:r>
          </w:p>
        </w:tc>
      </w:tr>
      <w:tr>
        <w:tc>
          <w:tcPr>
            <w:tcW w:type="dxa" w:w="145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Oracle OCI</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(Data Science)</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Not GA for GPU</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Yes (→ Object Storage)</w:t>
            </w:r>
          </w:p>
        </w:tc>
        <w:tc>
          <w:tcPr>
            <w:tcW w:type="dxa" w:w="241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$0 egress is a plus</w:t>
            </w:r>
          </w:p>
        </w:tc>
      </w:tr>
    </w:tbl>
    <w:p>
      <w:pPr>
        <w:spacing w:after="80"/>
      </w:pPr>
      <w:r>
        <w:t xml:space="preserve"/>
      </w:r>
    </w:p>
    <w:p>
      <w:pPr>
        <w:pStyle w:val="Heading2"/>
        <w:spacing w:after="100" w:before="200"/>
      </w:pPr>
      <w:r>
        <w:t xml:space="preserve">3.4  Self-host / open-source stack (the layer that keeps data ours)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900"/>
        <w:gridCol w:w="1700"/>
        <w:gridCol w:w="1500"/>
        <w:gridCol w:w="2760"/>
      </w:tblGrid>
      <w:tr>
        <w:trPr>
          <w:tblHeader/>
        </w:trPr>
        <w:tc>
          <w:tcPr>
            <w:tcW w:type="dxa" w:w="15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Tool</w:t>
            </w:r>
          </w:p>
        </w:tc>
        <w:tc>
          <w:tcPr>
            <w:tcW w:type="dxa" w:w="19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Role</w:t>
            </w:r>
          </w:p>
        </w:tc>
        <w:tc>
          <w:tcPr>
            <w:tcW w:type="dxa" w:w="17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License</w:t>
            </w:r>
          </w:p>
        </w:tc>
        <w:tc>
          <w:tcPr>
            <w:tcW w:type="dxa" w:w="15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Cost</w:t>
            </w:r>
          </w:p>
        </w:tc>
        <w:tc>
          <w:tcPr>
            <w:tcW w:type="dxa" w:w="276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Lock-in</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vLLM</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Inference server</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Apache 2.0</w:t>
            </w:r>
          </w:p>
        </w:tc>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Free</w:t>
            </w:r>
          </w:p>
        </w:tc>
        <w:tc>
          <w:tcPr>
            <w:tcW w:type="dxa" w:w="2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Lowest (vendor-neutral, OpenAI-API)</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Ollama</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Simple model server</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MIT</w:t>
            </w:r>
          </w:p>
        </w:tc>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Free</w:t>
            </w:r>
          </w:p>
        </w:tc>
        <w:tc>
          <w:tcPr>
            <w:tcW w:type="dxa" w:w="27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Very low</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Unsloth</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Fine-tuning library</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Apache 2.0</w:t>
            </w:r>
          </w:p>
        </w:tc>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Free</w:t>
            </w:r>
          </w:p>
        </w:tc>
        <w:tc>
          <w:tcPr>
            <w:tcW w:type="dxa" w:w="2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Very low</w:t>
            </w:r>
          </w:p>
        </w:tc>
      </w:tr>
      <w:tr>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HF AutoTrain</w:t>
            </w:r>
          </w:p>
        </w:tc>
        <w:tc>
          <w:tcPr>
            <w:tcW w:type="dxa" w:w="19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No-code fine-tuning</w:t>
            </w:r>
          </w:p>
        </w:tc>
        <w:tc>
          <w:tcPr>
            <w:tcW w:type="dxa" w:w="17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Apache 2.0</w:t>
            </w:r>
          </w:p>
        </w:tc>
        <w:tc>
          <w:tcPr>
            <w:tcW w:type="dxa" w:w="15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Free self-host</w:t>
            </w:r>
          </w:p>
        </w:tc>
        <w:tc>
          <w:tcPr>
            <w:tcW w:type="dxa" w:w="27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Very low</w:t>
            </w:r>
          </w:p>
        </w:tc>
      </w:tr>
      <w:tr>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NVIDIA NIM</w:t>
            </w:r>
          </w:p>
        </w:tc>
        <w:tc>
          <w:tcPr>
            <w:tcW w:type="dxa" w:w="19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Optimized inference</w:t>
            </w:r>
          </w:p>
        </w:tc>
        <w:tc>
          <w:tcPr>
            <w:tcW w:type="dxa" w:w="17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Proprietary</w:t>
            </w:r>
          </w:p>
        </w:tc>
        <w:tc>
          <w:tcPr>
            <w:tcW w:type="dxa" w:w="15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$4,500/GPU/yr</w:t>
            </w:r>
          </w:p>
        </w:tc>
        <w:tc>
          <w:tcPr>
            <w:tcW w:type="dxa" w:w="2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Highest (NVIDIA GPU + license)</w:t>
            </w:r>
          </w:p>
        </w:tc>
      </w:tr>
    </w:tbl>
    <w:p>
      <w:r>
        <w:br w:type="page"/>
      </w:r>
    </w:p>
    <w:p>
      <w:pPr>
        <w:pStyle w:val="Heading1"/>
        <w:spacing w:after="140" w:before="240"/>
      </w:pPr>
      <w:bookmarkStart w:name="sec4" w:id="1"/>
      <w:r>
        <w:t xml:space="preserve">4.  Mobility and exit</w:t>
      </w:r>
      <w:bookmarkEnd w:id="1"/>
    </w:p>
    <w:p>
      <w:pPr>
        <w:spacing w:after="120"/>
      </w:pPr>
      <w:r>
        <w:t xml:space="preserve">Portability is strong across the board because the trained artifact — a LoRA adapter or merged weights — is downloadable nearly everywhere and runs on the open-source serving stack. The differences are commercial, not technical.</w:t>
      </w:r>
    </w:p>
    <w:p>
      <w:pPr>
        <w:pStyle w:val="ListParagraph"/>
        <w:numPr>
          <w:ilvl w:val="0"/>
          <w:numId w:val="2"/>
        </w:numPr>
        <w:spacing w:after="60"/>
      </w:pPr>
      <w:r>
        <w:rPr>
          <w:b/>
          <w:bCs/>
        </w:rPr>
        <w:t xml:space="preserve">The universal hedge:</w:t>
      </w:r>
      <w:r>
        <w:t xml:space="preserve"> fine-tune open base models, keep the downloadable adapter, and serve on vLLM/Ollama. No provider can then strand your trained model.</w:t>
      </w:r>
    </w:p>
    <w:p>
      <w:pPr>
        <w:pStyle w:val="ListParagraph"/>
        <w:numPr>
          <w:ilvl w:val="0"/>
          <w:numId w:val="2"/>
        </w:numPr>
        <w:spacing w:after="60"/>
      </w:pPr>
      <w:r>
        <w:rPr>
          <w:b/>
          <w:bCs/>
        </w:rPr>
        <w:t xml:space="preserve">Acquisition risk is real but mitigated.</w:t>
      </w:r>
      <w:r>
        <w:t xml:space="preserve"> Predibase (Rubrik), OpenPipe (CoreWeave), and Replicate (Cloudflare) all changed hands in 2025. In each case the open-source serving layer (LoRAX, ART, Cog) plus downloadable weights is the protection against a direction change or shutdown.</w:t>
      </w:r>
    </w:p>
    <w:p>
      <w:pPr>
        <w:pStyle w:val="ListParagraph"/>
        <w:numPr>
          <w:ilvl w:val="0"/>
          <w:numId w:val="2"/>
        </w:numPr>
        <w:spacing w:after="60"/>
      </w:pPr>
      <w:r>
        <w:rPr>
          <w:b/>
          <w:bCs/>
        </w:rPr>
        <w:t xml:space="preserve">Standardize on OCI containers + customer-managed keys + Confidential Containers (CoCo)</w:t>
      </w:r>
      <w:r>
        <w:t xml:space="preserve"> so the same attested workload runs on any provider's confidential hardware, and key release is gated by attestation rather than tied to one vendor's KMS.</w:t>
      </w:r>
    </w:p>
    <w:p>
      <w:pPr>
        <w:pStyle w:val="ListParagraph"/>
        <w:numPr>
          <w:ilvl w:val="0"/>
          <w:numId w:val="2"/>
        </w:numPr>
        <w:spacing w:after="60"/>
      </w:pPr>
      <w:r>
        <w:rPr>
          <w:b/>
          <w:bCs/>
        </w:rPr>
        <w:t xml:space="preserve">Egress economics matter on exit.</w:t>
      </w:r>
      <w:r>
        <w:t xml:space="preserve"> CoreWeave and Oracle OCI offer $0 / near-$0 egress, materially cheapening a future migration of data and checkpoints.</w:t>
      </w:r>
    </w:p>
    <w:p>
      <w:pPr>
        <w:pStyle w:val="Heading1"/>
        <w:spacing w:after="140" w:before="240"/>
      </w:pPr>
      <w:bookmarkStart w:name="sec5" w:id="1"/>
      <w:r>
        <w:t xml:space="preserve">5.  Model integrity and continued availability</w:t>
      </w:r>
      <w:bookmarkEnd w:id="1"/>
    </w:p>
    <w:p>
      <w:pPr>
        <w:spacing w:after="120"/>
      </w:pPr>
      <w:r>
        <w:t xml:space="preserve">Models can be gated, privatized, deleted, or relicensed on a hub. The risk is real (e.g. Microsoft's TRELLIS checkpoints were pulled in 2025; Meta's Llama access is gated and can be rejected). It is also fully solvable.</w:t>
      </w:r>
    </w:p>
    <w:p>
      <w:pPr>
        <w:pStyle w:val="ListParagraph"/>
        <w:numPr>
          <w:ilvl w:val="0"/>
          <w:numId w:val="2"/>
        </w:numPr>
        <w:spacing w:after="60"/>
      </w:pPr>
      <w:r>
        <w:rPr>
          <w:b/>
          <w:bCs/>
        </w:rPr>
        <w:t xml:space="preserve">Once you download open weights under a permissive license, you own that copy.</w:t>
      </w:r>
      <w:r>
        <w:t xml:space="preserve"> Apache 2.0 and MIT grant a perpetual, irrevocable license — Qwen3, Phi, Apache-Mistral, and Gemma 4 cannot be clawed back from copies you hold.</w:t>
      </w:r>
    </w:p>
    <w:p>
      <w:pPr>
        <w:pStyle w:val="ListParagraph"/>
        <w:numPr>
          <w:ilvl w:val="0"/>
          <w:numId w:val="2"/>
        </w:numPr>
        <w:spacing w:after="60"/>
      </w:pPr>
      <w:r>
        <w:rPr>
          <w:b/>
          <w:bCs/>
        </w:rPr>
        <w:t xml:space="preserve">Mirror and pin.</w:t>
      </w:r>
      <w:r>
        <w:t xml:space="preserve"> Download a full snapshot pinned to a specific commit, re-host it in your own storage, run with the hub offline, and archive the license text alongside the weights.</w:t>
      </w:r>
    </w:p>
    <w:p>
      <w:pPr>
        <w:spacing w:after="120"/>
      </w:pPr>
      <w:r>
        <w:t xml:space="preserve">License-risk ranking (prefer the top): </w:t>
      </w:r>
      <w:r>
        <w:rPr>
          <w:b/>
          <w:bCs/>
        </w:rPr>
        <w:t xml:space="preserve">Safest</w:t>
      </w:r>
      <w:r>
        <w:t xml:space="preserve"> — Qwen3, Phi, Apache-Mistral, Gemma 4 (Apache 2.0 / MIT). </w:t>
      </w:r>
      <w:r>
        <w:rPr>
          <w:b/>
          <w:bCs/>
        </w:rPr>
        <w:t xml:space="preserve">Usable with strings</w:t>
      </w:r>
      <w:r>
        <w:t xml:space="preserve"> — Llama 3.x/4 and Gemma 1–3 (custom community licenses, terminable on breach). For the cleanest footing, standardize on Qwen3 or Phi.</w:t>
      </w:r>
    </w:p>
    <w:p>
      <w:pPr>
        <w:pStyle w:val="Heading1"/>
        <w:spacing w:after="140" w:before="240"/>
      </w:pPr>
      <w:bookmarkStart w:name="sec6" w:id="1"/>
      <w:r>
        <w:t xml:space="preserve">6.  Data security under the relaxed constraint</w:t>
      </w:r>
      <w:bookmarkEnd w:id="1"/>
    </w:p>
    <w:p>
      <w:pPr>
        <w:spacing w:after="120"/>
      </w:pPr>
      <w:r>
        <w:t xml:space="preserve">With data allowed outside our walls, security shifts from “keep it in the building” to “keep it sealed wherever it runs.” Three layers of encryption plus customer-held keys deliver that.</w:t>
      </w:r>
    </w:p>
    <w:p>
      <w:pPr>
        <w:pStyle w:val="ListParagraph"/>
        <w:numPr>
          <w:ilvl w:val="0"/>
          <w:numId w:val="2"/>
        </w:numPr>
        <w:spacing w:after="60"/>
      </w:pPr>
      <w:r>
        <w:rPr>
          <w:b/>
          <w:bCs/>
        </w:rPr>
        <w:t xml:space="preserve">At rest</w:t>
      </w:r>
      <w:r>
        <w:t xml:space="preserve"> — AES-256 on all volumes (portable via LUKS); keys in our own key store.</w:t>
      </w:r>
    </w:p>
    <w:p>
      <w:pPr>
        <w:pStyle w:val="ListParagraph"/>
        <w:numPr>
          <w:ilvl w:val="0"/>
          <w:numId w:val="2"/>
        </w:numPr>
        <w:spacing w:after="60"/>
      </w:pPr>
      <w:r>
        <w:rPr>
          <w:b/>
          <w:bCs/>
        </w:rPr>
        <w:t xml:space="preserve">In transit</w:t>
      </w:r>
      <w:r>
        <w:t xml:space="preserve"> — TLS 1.2/1.3 everywhere.</w:t>
      </w:r>
    </w:p>
    <w:p>
      <w:pPr>
        <w:pStyle w:val="ListParagraph"/>
        <w:numPr>
          <w:ilvl w:val="0"/>
          <w:numId w:val="2"/>
        </w:numPr>
        <w:spacing w:after="60"/>
      </w:pPr>
      <w:r>
        <w:rPr>
          <w:b/>
          <w:bCs/>
        </w:rPr>
        <w:t xml:space="preserve">In use</w:t>
      </w:r>
      <w:r>
        <w:t xml:space="preserve"> — run on a GPU Trusted Execution Environment (NVIDIA Confidential Computing) inside a CPU TEE, so even the host cannot read memory; the environment is cryptographically attested before keys are released.</w:t>
      </w:r>
    </w:p>
    <w:p>
      <w:pPr>
        <w:pStyle w:val="ListParagraph"/>
        <w:numPr>
          <w:ilvl w:val="0"/>
          <w:numId w:val="2"/>
        </w:numPr>
        <w:spacing w:after="60"/>
      </w:pPr>
      <w:r>
        <w:rPr>
          <w:b/>
          <w:bCs/>
        </w:rPr>
        <w:t xml:space="preserve">Customer-Managed Keys (CMK / BYOK)</w:t>
      </w:r>
      <w:r>
        <w:t xml:space="preserve"> — we hold the keys; attestation-gated release means the provider's own staff cannot read our data.</w:t>
      </w:r>
    </w:p>
    <w:p>
      <w:pPr>
        <w:spacing w:after="120"/>
      </w:pPr>
      <w:r>
        <w:t xml:space="preserve">Confidential H100 VMs are generally available on </w:t>
      </w:r>
      <w:r>
        <w:rPr>
          <w:b/>
          <w:bCs/>
        </w:rPr>
        <w:t xml:space="preserve">Azure (NCC H100 v5) and Google Cloud (A3 confidential)</w:t>
      </w:r>
      <w:r>
        <w:t xml:space="preserve"> in 2026, with under ~7% overhead for inference. AWS has CPU enclaves today and GPU confidential mode on its roadmap. This is the technology that makes renting acceptable for confidential data — at roughly a 3–4× price premium over a normal rented GPU, used only when the strongest guarantee is required.</w:t>
      </w:r>
    </w:p>
    <w:p>
      <w:r>
        <w:br w:type="page"/>
      </w:r>
    </w:p>
    <w:p>
      <w:pPr>
        <w:pStyle w:val="Heading1"/>
        <w:spacing w:after="140" w:before="240"/>
      </w:pPr>
      <w:bookmarkStart w:name="sec7" w:id="1"/>
      <w:r>
        <w:t xml:space="preserve">7.  Cost summary</w:t>
      </w:r>
      <w:bookmarkEnd w:id="1"/>
    </w:p>
    <w:p>
      <w:pPr>
        <w:spacing w:after="120"/>
      </w:pPr>
      <w:r>
        <w:t xml:space="preserve">Assumptions: ~10–25 managers, a few hundred to ~2,000 questions/day, a 12–14B model at 4-bit on a single 24 GB-class GPU. June 2026 estimates.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000"/>
        <w:gridCol w:w="4760"/>
      </w:tblGrid>
      <w:tr>
        <w:trPr>
          <w:tblHeader/>
        </w:trPr>
        <w:tc>
          <w:tcPr>
            <w:tcW w:type="dxa" w:w="26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Option</w:t>
            </w:r>
          </w:p>
        </w:tc>
        <w:tc>
          <w:tcPr>
            <w:tcW w:type="dxa" w:w="200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~Monthly</w:t>
            </w:r>
          </w:p>
        </w:tc>
        <w:tc>
          <w:tcPr>
            <w:tcW w:type="dxa" w:w="4760"/>
            <w:tcBorders>
              <w:top w:val="single" w:color="CCCCCC" w:sz="1"/>
              <w:left w:val="single" w:color="CCCCCC" w:sz="1"/>
              <w:bottom w:val="single" w:color="CCCCCC" w:sz="1"/>
              <w:right w:val="single" w:color="CCCCCC" w:sz="1"/>
            </w:tcBorders>
            <w:shd w:fill="15406E" w:val="clear"/>
            <w:tcMar>
              <w:top w:type="dxa" w:w="60"/>
              <w:left w:type="dxa" w:w="110"/>
              <w:bottom w:type="dxa" w:w="60"/>
              <w:right w:type="dxa" w:w="110"/>
            </w:tcMar>
          </w:tcPr>
          <w:p>
            <w:pPr>
              <w:spacing w:after="0"/>
            </w:pPr>
            <w:r>
              <w:rPr>
                <w:b/>
                <w:bCs/>
                <w:color w:val="FFFFFF"/>
                <w:sz w:val="17"/>
                <w:szCs w:val="17"/>
              </w:rPr>
              <w:t xml:space="preserve">Notes</w:t>
            </w:r>
          </w:p>
        </w:tc>
      </w:tr>
      <w:tr>
        <w:tc>
          <w:tcPr>
            <w:tcW w:type="dxa" w:w="26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Buy a GPU server</w:t>
            </w:r>
          </w:p>
        </w:tc>
        <w:tc>
          <w:tcPr>
            <w:tcW w:type="dxa" w:w="20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$140–200</w:t>
            </w:r>
          </w:p>
        </w:tc>
        <w:tc>
          <w:tcPr>
            <w:tcW w:type="dxa" w:w="4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~$5–7k once (RTX 4090 build), amortized over 3 years; fully in-house</w:t>
            </w:r>
          </w:p>
        </w:tc>
      </w:tr>
      <w:tr>
        <w:tc>
          <w:tcPr>
            <w:tcW w:type="dxa" w:w="26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Rent, only-when-used</w:t>
            </w:r>
          </w:p>
        </w:tc>
        <w:tc>
          <w:tcPr>
            <w:tcW w:type="dxa" w:w="20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$30–55</w:t>
            </w:r>
          </w:p>
        </w:tc>
        <w:tc>
          <w:tcPr>
            <w:tcW w:type="dxa" w:w="47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Scale-to-zero secure GPU; cheapest defensible option for light use</w:t>
            </w:r>
          </w:p>
        </w:tc>
      </w:tr>
      <w:tr>
        <w:tc>
          <w:tcPr>
            <w:tcW w:type="dxa" w:w="26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Rent, dedicated 24/7</w:t>
            </w:r>
          </w:p>
        </w:tc>
        <w:tc>
          <w:tcPr>
            <w:tcW w:type="dxa" w:w="20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$320</w:t>
            </w:r>
          </w:p>
        </w:tc>
        <w:tc>
          <w:tcPr>
            <w:tcW w:type="dxa" w:w="4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Always-on single-tenant secure GPU</w:t>
            </w:r>
          </w:p>
        </w:tc>
      </w:tr>
      <w:tr>
        <w:tc>
          <w:tcPr>
            <w:tcW w:type="dxa" w:w="26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Confidential cloud</w:t>
            </w:r>
          </w:p>
        </w:tc>
        <w:tc>
          <w:tcPr>
            <w:tcW w:type="dxa" w:w="20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~3–4× a normal GPU</w:t>
            </w:r>
          </w:p>
        </w:tc>
        <w:tc>
          <w:tcPr>
            <w:tcW w:type="dxa" w:w="47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Only when provable “operator can't see it” is required</w:t>
            </w:r>
          </w:p>
        </w:tc>
      </w:tr>
      <w:tr>
        <w:tc>
          <w:tcPr>
            <w:tcW w:type="dxa" w:w="26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Managed per-token API</w:t>
            </w:r>
          </w:p>
        </w:tc>
        <w:tc>
          <w:tcPr>
            <w:tcW w:type="dxa" w:w="20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$12–60</w:t>
            </w:r>
          </w:p>
        </w:tc>
        <w:tc>
          <w:tcPr>
            <w:tcW w:type="dxa" w:w="4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Cheapest sticker price but sends data to the provider; needs a zero-retention contract</w:t>
            </w:r>
          </w:p>
        </w:tc>
      </w:tr>
      <w:tr>
        <w:tc>
          <w:tcPr>
            <w:tcW w:type="dxa" w:w="26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Embeddings + vectors</w:t>
            </w:r>
          </w:p>
        </w:tc>
        <w:tc>
          <w:tcPr>
            <w:tcW w:type="dxa" w:w="200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~$0</w:t>
            </w:r>
          </w:p>
        </w:tc>
        <w:tc>
          <w:tcPr>
            <w:tcW w:type="dxa" w:w="4760"/>
            <w:tcBorders>
              <w:top w:val="single" w:color="CCCCCC" w:sz="1"/>
              <w:left w:val="single" w:color="CCCCCC" w:sz="1"/>
              <w:bottom w:val="single" w:color="CCCCCC" w:sz="1"/>
              <w:right w:val="single" w:color="CCCCCC" w:sz="1"/>
            </w:tcBorders>
            <w:shd w:fill="F4F7FB" w:val="clear"/>
            <w:tcMar>
              <w:top w:type="dxa" w:w="60"/>
              <w:left w:type="dxa" w:w="110"/>
              <w:bottom w:type="dxa" w:w="60"/>
              <w:right w:type="dxa" w:w="110"/>
            </w:tcMar>
          </w:tcPr>
          <w:p>
            <w:pPr>
              <w:spacing w:after="0"/>
            </w:pPr>
            <w:r>
              <w:t xml:space="preserve">Self-hosted embedding model; vectors stored inside SQL Server</w:t>
            </w:r>
          </w:p>
        </w:tc>
      </w:tr>
      <w:tr>
        <w:tc>
          <w:tcPr>
            <w:tcW w:type="dxa" w:w="26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One-off fine-tuning</w:t>
            </w:r>
          </w:p>
        </w:tc>
        <w:tc>
          <w:tcPr>
            <w:tcW w:type="dxa" w:w="200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under ~$100</w:t>
            </w:r>
          </w:p>
        </w:tc>
        <w:tc>
          <w:tcPr>
            <w:tcW w:type="dxa" w:w="4760"/>
            <w:tcBorders>
              <w:top w:val="single" w:color="CCCCCC" w:sz="1"/>
              <w:left w:val="single" w:color="CCCCCC" w:sz="1"/>
              <w:bottom w:val="single" w:color="CCCCCC" w:sz="1"/>
              <w:right w:val="single" w:color="CCCCCC" w:sz="1"/>
            </w:tcBorders>
            <w:tcMar>
              <w:top w:type="dxa" w:w="60"/>
              <w:left w:type="dxa" w:w="110"/>
              <w:bottom w:type="dxa" w:w="60"/>
              <w:right w:type="dxa" w:w="110"/>
            </w:tcMar>
          </w:tcPr>
          <w:p>
            <w:pPr>
              <w:spacing w:after="0"/>
            </w:pPr>
            <w:r>
              <w:t xml:space="preserve">A few hours on a rented GPU; you keep the weights. Usually unnecessary with RAG</w:t>
            </w:r>
          </w:p>
        </w:tc>
      </w:tr>
    </w:tbl>
    <w:p>
      <w:pPr>
        <w:spacing w:after="80"/>
      </w:pPr>
      <w:r>
        <w:t xml:space="preserve"/>
      </w:r>
    </w:p>
    <w:p>
      <w:pPr>
        <w:spacing w:after="120"/>
      </w:pPr>
      <w:r>
        <w:rPr>
          <w:b/>
          <w:bCs/>
        </w:rPr>
        <w:t xml:space="preserve">Buy vs. rent: </w:t>
      </w:r>
      <w:r>
        <w:t xml:space="preserve">a ~$5–7k server pays for itself versus 24/7 rental in about 19 months; over three years, owning costs roughly half. But only-when-used rental (~$30–55/mo) can beat even owning for light usage.</w:t>
      </w:r>
    </w:p>
    <w:p>
      <w:pPr>
        <w:pStyle w:val="Heading1"/>
        <w:spacing w:after="140" w:before="240"/>
      </w:pPr>
      <w:bookmarkStart w:name="sec8" w:id="1"/>
      <w:r>
        <w:t xml:space="preserve">8.  Recommendation and suggested path</w:t>
      </w:r>
      <w:bookmarkEnd w:id="1"/>
    </w:p>
    <w:p>
      <w:pPr>
        <w:spacing w:after="120"/>
      </w:pPr>
      <w:r>
        <w:t xml:space="preserve">Build the system as one secure, portable container around an open-weight 12–14B model, RAG over notes, and Text-to-SQL over tables, with embeddings in SQL Server and our own encryption keys. Then choose where to run it based on cost and the security guarantee you need at the time — and move freely as needs change.</w:t>
      </w:r>
    </w:p>
    <w:p>
      <w:pPr>
        <w:pStyle w:val="ListParagraph"/>
        <w:numPr>
          <w:ilvl w:val="0"/>
          <w:numId w:val="3"/>
        </w:numPr>
        <w:spacing w:after="60"/>
      </w:pPr>
      <w:r>
        <w:rPr>
          <w:b/>
          <w:bCs/>
        </w:rPr>
        <w:t xml:space="preserve">Validate cheaply</w:t>
      </w:r>
      <w:r>
        <w:t xml:space="preserve"> on a scale-to-zero secure rented GPU (~$30–55/mo), data single-tenant.</w:t>
      </w:r>
    </w:p>
    <w:p>
      <w:pPr>
        <w:pStyle w:val="ListParagraph"/>
        <w:numPr>
          <w:ilvl w:val="0"/>
          <w:numId w:val="3"/>
        </w:numPr>
        <w:spacing w:after="60"/>
      </w:pPr>
      <w:r>
        <w:rPr>
          <w:b/>
          <w:bCs/>
        </w:rPr>
        <w:t xml:space="preserve">Step up to a confidential H100 VM</w:t>
      </w:r>
      <w:r>
        <w:t xml:space="preserve"> (Azure / Google Cloud) if and when a provable “operator-blind” guarantee is needed — redeploy the same container, no rebuild.</w:t>
      </w:r>
    </w:p>
    <w:p>
      <w:pPr>
        <w:pStyle w:val="ListParagraph"/>
        <w:numPr>
          <w:ilvl w:val="0"/>
          <w:numId w:val="3"/>
        </w:numPr>
        <w:spacing w:after="60"/>
      </w:pPr>
      <w:r>
        <w:rPr>
          <w:b/>
          <w:bCs/>
        </w:rPr>
        <w:t xml:space="preserve">Buy a ~$5–7k GPU server</w:t>
      </w:r>
      <w:r>
        <w:t xml:space="preserve"> if usage proves heavy and permanent — breakeven ~19 months, cheapest long-run, fully in-house.</w:t>
      </w:r>
    </w:p>
    <w:p>
      <w:pPr>
        <w:spacing w:after="120"/>
      </w:pPr>
      <w:r>
        <w:t xml:space="preserve">Because every option runs the identical container, switching between them requires no re-engineering — which is the entire point of the container-first, open-weight design.</w:t>
      </w:r>
    </w:p>
    <w:p>
      <w:pPr>
        <w:spacing w:after="80"/>
      </w:pPr>
      <w:r>
        <w:t xml:space="preserve"/>
      </w:r>
    </w:p>
    <w:p>
      <w:pPr>
        <w:spacing w:after="120"/>
      </w:pPr>
      <w:r>
        <w:rPr>
          <w:b/>
          <w:bCs/>
          <w:color w:val="5B6B7B"/>
        </w:rPr>
        <w:t xml:space="preserve">Sources: </w:t>
      </w:r>
      <w:r>
        <w:rPr>
          <w:i/>
          <w:iCs/>
          <w:color w:val="5B6B7B"/>
          <w:sz w:val="16"/>
          <w:szCs w:val="16"/>
        </w:rPr>
        <w:t xml:space="preserve">Vendor pricing and documentation pages fetched June 2026 (RunPod, Lambda, CoreWeave, Vast.ai, DigitalOcean, Together, Fireworks, Modal, Baseten, OpenPipe, Predibase, Replicate, AWS, Google Cloud, Azure, Oracle OCI, Hugging Face, NVIDIA); NVIDIA Confidential Computing and Azure/Google confidential-VM GA announcements; Apache 2.0 license text; Microsoft SQL Server 2025 vector documentation. Figures are list/estimate and vary by region, term, and usage.</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7B"/>
        <w:sz w:val="16"/>
        <w:szCs w:val="16"/>
      </w:rPr>
      <w:t xml:space="preserve">WWG AI Dashboard  ·  AI Provider Comparison  ·  Page </w:t>
    </w:r>
    <w:r>
      <w:rPr>
        <w:color w:val="5B6B7B"/>
        <w:sz w:val="16"/>
        <w:szCs w:val="16"/>
      </w:rPr>
      <w:fldChar w:fldCharType="begin"/>
      <w:instrText xml:space="preserve">PAGE</w:instrText>
      <w:fldChar w:fldCharType="separate"/>
      <w:fldChar w:fldCharType="end"/>
    </w:r>
    <w:r>
      <w:rPr>
        <w:color w:val="5B6B7B"/>
        <w:sz w:val="16"/>
        <w:szCs w:val="16"/>
      </w:rPr>
      <w:t xml:space="preserve"> of </w:t>
    </w:r>
    <w:r>
      <w:rPr>
        <w:color w:val="5B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80"/>
      </w:pPr>
    </w:lvl>
  </w:abstractNum>
  <w:abstractNum w:abstractNumId="3" w15:restartNumberingAfterBreak="0">
    <w:multiLevelType w:val="hybridMultilevel"/>
    <w:lvl w:ilvl="0" w15:tentative="1">
      <w:start w:val="1"/>
      <w:numFmt w:val="decimal"/>
      <w:lvlText w:val="%1."/>
      <w:lvlJc w:val="left"/>
      <w:pPr>
        <w:ind w:left="54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40"/>
      <w:outlineLvl w:val="0"/>
    </w:pPr>
    <w:rPr>
      <w:rFonts w:ascii="Arial" w:cs="Arial" w:eastAsia="Arial" w:hAnsi="Arial"/>
      <w:b/>
      <w:bCs/>
      <w:color w:val="15406E"/>
      <w:sz w:val="30"/>
      <w:szCs w:val="30"/>
    </w:rPr>
  </w:style>
  <w:style w:type="paragraph" w:styleId="Heading2">
    <w:name w:val="Heading 2"/>
    <w:basedOn w:val="Normal"/>
    <w:next w:val="Normal"/>
    <w:qFormat/>
    <w:pPr>
      <w:spacing w:after="100" w:before="200"/>
      <w:outlineLvl w:val="1"/>
    </w:pPr>
    <w:rPr>
      <w:rFonts w:ascii="Arial" w:cs="Arial" w:eastAsia="Arial" w:hAnsi="Arial"/>
      <w:b/>
      <w:bCs/>
      <w:color w:val="1A4F8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2026-06-23T18:00:01.035Z</dcterms:created>
  <dcterms:modified xsi:type="dcterms:W3CDTF">2026-06-23T18:00:01.035Z</dcterms:modified>
</cp:coreProperties>
</file>

<file path=docProps/custom.xml><?xml version="1.0" encoding="utf-8"?>
<Properties xmlns="http://schemas.openxmlformats.org/officeDocument/2006/custom-properties" xmlns:vt="http://schemas.openxmlformats.org/officeDocument/2006/docPropsVTypes"/>
</file>